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color w:val="000000"/>
          <w:sz w:val="27"/>
          <w:szCs w:val="27"/>
        </w:rPr>
        <w:tab/>
      </w:r>
      <w:r w:rsidRPr="00B94973">
        <w:rPr>
          <w:rFonts w:ascii="Times New Roman" w:hAnsi="Times New Roman" w:cs="Times New Roman"/>
          <w:b/>
          <w:color w:val="000000"/>
          <w:sz w:val="28"/>
          <w:szCs w:val="28"/>
        </w:rPr>
        <w:t>Разъяснения по соблюдению обязательных требований земельного законодательства</w:t>
      </w:r>
      <w:r w:rsidRPr="00B94973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>В соответствии с положениями Земельного кодекса Российской Федерации от 25 октября 2001 года № 136-ФЗ (далее – Земельный кодекс) земельное законодательство регулирует отношения по использованию и охране земель в Российской Федерации как основы жизни и деятельности народов, проживающих на соответствующей территории (земельные отношения).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Имущественные отношения по владению, пользованию и распоряжению земельными участками, а также по совершению сделок с ними регулируются гражданским законодательством, если иное не предусмотрено земельным, лесным, водным законодательством, законодательством о недрах, об охране окружающей среды, специальными федеральными законами. </w:t>
      </w:r>
    </w:p>
    <w:p w:rsid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>Объектами земельных отношений являются: земля как природный объект и природный ресурс; земельные участки; части земельных участков. В свою очередь, земельный участок как объект права собственности и иных предусмотренных Земельным кодексом прав на землю является недвижимой вещью, которая представляет собой часть земной поверхности и имеет характеристики, позволяющие определить ее в качестве индивидуально определенной вещи. В случаях и в порядке, которые установлены федеральным законом, могут создаваться искусственные земельные участки. Права на земельные участки, возникают по основаниям, установленным гражданским законодательством и федеральными законами. Государственный кадастровый учет земельных участков, так же как и права на земельные участки подлежат государственной регистрации в соответствии с Федеральным законом от 13.07.2015 № 218-ФЗ «О государственной регистрации недвижимости».</w:t>
      </w:r>
    </w:p>
    <w:p w:rsidR="00677C44" w:rsidRPr="00B94973" w:rsidRDefault="00677C44" w:rsidP="00B94973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b/>
          <w:color w:val="000000"/>
          <w:sz w:val="28"/>
          <w:szCs w:val="28"/>
        </w:rPr>
        <w:t>Обязанности правообладателей земельных участков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>Согласно статье 42 Земельного кодекса собственники земельных участков и лица, не являющиеся собственниками земельных участков, обязаны: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– использовать земельные участки в соответствии с их целевым назначением способами, которые не должны наносить вред окружающей среде, в том числе земле как природному объекту;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– сохранять межевые, геодезические и другие специальные знаки, установленные на земельных участках в соответствии с законодательством; – </w:t>
      </w:r>
      <w:r w:rsidRPr="00B9497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осуществлять мероприятия по охране земель, лесов, водных объектов и других природных ресурсов, в том числе меры пожарной безопасности; </w:t>
      </w:r>
    </w:p>
    <w:p w:rsid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– своевременно приступать к использованию земельных участков в случаях, если сроки освоения земельных участков предусмотрены договорами; </w:t>
      </w: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677C44" w:rsidRPr="00B94973" w:rsidRDefault="00B94973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677C44" w:rsidRPr="00B94973">
        <w:rPr>
          <w:rFonts w:ascii="Times New Roman" w:hAnsi="Times New Roman" w:cs="Times New Roman"/>
          <w:color w:val="000000"/>
          <w:sz w:val="28"/>
          <w:szCs w:val="28"/>
        </w:rPr>
        <w:t xml:space="preserve">– своевременно производить платежи за землю; 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– соблюдать при использовании земельных участков требования градостроительных регламентов, строительных, экологических, санитарно-гигиенических, противопожарных и иных правил, нормативов, осуществлять на земельных участках строительство, реконструкцию зданий, сооружений в соответствии с требованиями законодательства о градостроительной деятельности; 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>– не допускать загрязнение, истощение, деградацию, порчу, уничтожение земель и почв и иное негативное воздействие на земли и почвы;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– не препятствовать организации – собственнику объекта системы газоснабжения, 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(или) под поверхностью земельных участков объектов системы газоснабжения, нефтепроводов и нефтепродуктопроводов, </w:t>
      </w:r>
      <w:proofErr w:type="spellStart"/>
      <w:r w:rsidRPr="00B94973">
        <w:rPr>
          <w:rFonts w:ascii="Times New Roman" w:hAnsi="Times New Roman" w:cs="Times New Roman"/>
          <w:color w:val="000000"/>
          <w:sz w:val="28"/>
          <w:szCs w:val="28"/>
        </w:rPr>
        <w:t>аммиакопроводов</w:t>
      </w:r>
      <w:proofErr w:type="spellEnd"/>
      <w:r w:rsidRPr="00B94973">
        <w:rPr>
          <w:rFonts w:ascii="Times New Roman" w:hAnsi="Times New Roman" w:cs="Times New Roman"/>
          <w:color w:val="000000"/>
          <w:sz w:val="28"/>
          <w:szCs w:val="28"/>
        </w:rPr>
        <w:t xml:space="preserve">, по предупреждению чрезвычайных ситуаций, по ликвидации последствий, возникших на них аварий, катастроф. 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Согласно статье 13 Земельного кодекса в целях охраны земель собственники земельных участков, землепользователи, землевладельцы и арендаторы земельных участков обязаны проводить мероприятия по: 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– воспроизводству плодородия земель сельскохозяйственного назначения; 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– защите земель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 и другого негативного воздействия; 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>– защите сельскохозяйственных угодий от зарастания деревьями и кустарниками, сорными растениями, сохранению достигнутого уровня мелиорации.</w:t>
      </w:r>
    </w:p>
    <w:p w:rsidR="00677C44" w:rsidRPr="00724ECD" w:rsidRDefault="00677C44" w:rsidP="00677C4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724E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A7083">
        <w:rPr>
          <w:rFonts w:ascii="Times New Roman" w:hAnsi="Times New Roman" w:cs="Times New Roman"/>
          <w:b/>
          <w:color w:val="000000"/>
          <w:sz w:val="28"/>
          <w:szCs w:val="28"/>
        </w:rPr>
        <w:t>Управлени</w:t>
      </w:r>
      <w:r w:rsidR="00BA7E16">
        <w:rPr>
          <w:rFonts w:ascii="Times New Roman" w:hAnsi="Times New Roman" w:cs="Times New Roman"/>
          <w:b/>
          <w:color w:val="000000"/>
          <w:sz w:val="28"/>
          <w:szCs w:val="28"/>
        </w:rPr>
        <w:t>ем</w:t>
      </w:r>
      <w:r w:rsidR="005A708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имущественных </w:t>
      </w:r>
      <w:bookmarkStart w:id="0" w:name="_GoBack"/>
      <w:bookmarkEnd w:id="0"/>
      <w:r w:rsidR="005A7083">
        <w:rPr>
          <w:rFonts w:ascii="Times New Roman" w:hAnsi="Times New Roman" w:cs="Times New Roman"/>
          <w:b/>
          <w:color w:val="000000"/>
          <w:sz w:val="28"/>
          <w:szCs w:val="28"/>
        </w:rPr>
        <w:t>и земельных отношений администрации Некоузского</w:t>
      </w:r>
      <w:r w:rsidRPr="00724EC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муниципального района Ярославской области осуществляется муниципальный земельный контроль за соблюдением: 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– требований законодательства о недопущении самовольного занятия земельного участка или части земельного участка, в том числе использования земельного участка лицом, не имеющим предусмотренных законодательством Российской Федерации прав на указанный земельный участок; 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– требований законодательства по улучшению, защите земель и охране почв от ветровой, водной эрозии и предотвращению других процессов и иного негативного воздействия на окружающую среду, ухудшающих качественное состояние земель; 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– выполнения требований земельного законодательства об использовании земельного участка по целевому назначению в соответствии с принадлежностью к той или иной категории земель и разрешенным использованием, а также о выполнении обязанностей по приведению земель в состояние, пригодное для использования по целевому назначению; 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– выполнения требований земельного законодательства, связанных с обязательным использованием земельных участков из земель сельскохозяйственного назначения, оборот которого регулируется Федеральным законом от 24 июля 2002 года № 101-ФЗ «Об обороте земель сельскохозяйственного назначения», для ведения сельскохозяйственного производства или осуществления иной связанной с сельскохозяйственным производством деятельности; 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>– выполнения требований земельного законодательства, связанных с обязательным использованием земельных участков, предназначенных для жилищного или иного строительства, садоводства, огородничества, в указанных целях в случае, если обязанность по использованию такого земельного участка в течение установленного срока предусмотрена федеральным законом;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– законодательства, связанного с обязанностью по приведению земель в состояние, пригодное для использования по целевому назначению;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 xml:space="preserve"> – требований о запрете самовольного снятия, перемещения и уничтожения плодородного слоя почвы; 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>– требований законодательства, связанных с выполнением в установленный срок предписаний, выданных уполномоченными должностными лицами, по вопросам соблюдения требований земельного законодательства и устранения нарушений в области земельных отношений;</w:t>
      </w:r>
    </w:p>
    <w:p w:rsidR="00724ECD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– выполнять иные требования, предусмотренные Земельным кодексом, федеральными законами. </w:t>
      </w:r>
    </w:p>
    <w:p w:rsidR="00677C44" w:rsidRPr="00724ECD" w:rsidRDefault="00677C44" w:rsidP="00677C4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24ECD">
        <w:rPr>
          <w:rFonts w:ascii="Times New Roman" w:hAnsi="Times New Roman" w:cs="Times New Roman"/>
          <w:b/>
          <w:color w:val="000000"/>
          <w:sz w:val="28"/>
          <w:szCs w:val="28"/>
        </w:rPr>
        <w:t>Участниками земельных отношений в целях недопущения нарушений земельного законодательства должны приниматься все необходимые меры, а именно: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– фактическое использование земельного участка должно соответствовать правовому режиму земельного участка, указанному в правоустанавливающих документах на землю и в Едином государственном реестре недвижимости (ЕГРН);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– для недопущения фактов увеличения площади земельного участка за счет занятия земель, принадлежащих смежным правообладателям, необходимо удостовериться, что границы используемого земельного участка соответствуют границам земельного участка, содержащимся в ЕГРН, и не пересекают границ смежных земельных участков. В случае если в сведениях ЕГРН отсутствуют сведения о местоположении границ используемого земельного участка, необходимо обратиться к кадастровому инженеру, который проведет кадастровые работы, в результате которых будет определено местоположение границ земельного участка, а также будут подготовлены документы для обращения с заявлением о внесении сведений о границах земельного участка в ЕГРН;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– в целях недопущения нарушения обязанности использовать земельные участки на основании зарегистрированных в установленном порядке правоустанавливающих документов, необходимо обратиться в уполномоченный орган за предоставлением прав на землю; 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>– в целях недопущения воспрепятствования законной деятельности должностного лица, осуществляющего муниципальный земельный контроль, участникам земельных отношений необходимо привести в соответствие почтовые адреса для получения юридически значимых сообщений.</w:t>
      </w:r>
    </w:p>
    <w:p w:rsidR="00677C44" w:rsidRPr="00B94973" w:rsidRDefault="00677C44" w:rsidP="00677C44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  <w:t xml:space="preserve"> Для того чтобы проследить в порядке самоконтроля, не допущено ли землепользователями самовольное занятие земель, достаточно соотнести оформленные границы земельного участка с фактически границами. Информация об оформленных границах земельных участков можно узнать на публичной кадастровой карте в сети «Интернет».</w:t>
      </w:r>
    </w:p>
    <w:p w:rsidR="00D25123" w:rsidRPr="00B94973" w:rsidRDefault="00677C44" w:rsidP="00677C44">
      <w:pPr>
        <w:jc w:val="both"/>
        <w:rPr>
          <w:rFonts w:ascii="Times New Roman" w:hAnsi="Times New Roman" w:cs="Times New Roman"/>
          <w:sz w:val="28"/>
          <w:szCs w:val="28"/>
        </w:rPr>
      </w:pPr>
      <w:r w:rsidRPr="00B94973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 случае возникновения ситуаций, требующих дополнительного разъяснения относительно соблюдения требований земельного законодательства, получить квалифицированную консультацию возможно посредством личного обращения в орган, уполномоченный на осуществление муниципального земельного контроля на территории </w:t>
      </w:r>
      <w:r w:rsidR="00E415FD">
        <w:rPr>
          <w:rFonts w:ascii="Times New Roman" w:hAnsi="Times New Roman" w:cs="Times New Roman"/>
          <w:color w:val="000000"/>
          <w:sz w:val="28"/>
          <w:szCs w:val="28"/>
        </w:rPr>
        <w:t xml:space="preserve">Некоузского </w:t>
      </w:r>
      <w:r w:rsidRPr="00B94973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района – </w:t>
      </w:r>
      <w:r w:rsidR="00E415FD">
        <w:rPr>
          <w:rFonts w:ascii="Times New Roman" w:hAnsi="Times New Roman" w:cs="Times New Roman"/>
          <w:color w:val="000000"/>
          <w:sz w:val="28"/>
          <w:szCs w:val="28"/>
        </w:rPr>
        <w:t>Управление имущественных и земельных отношений администрации Некоузского муниципального района</w:t>
      </w:r>
      <w:r w:rsidRPr="00B94973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="00E415FD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B9497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415FD">
        <w:rPr>
          <w:rFonts w:ascii="Times New Roman" w:hAnsi="Times New Roman" w:cs="Times New Roman"/>
          <w:color w:val="000000"/>
          <w:sz w:val="28"/>
          <w:szCs w:val="28"/>
        </w:rPr>
        <w:t xml:space="preserve">Новый Некоуз, ул. Советская, д. 23, </w:t>
      </w:r>
      <w:proofErr w:type="spellStart"/>
      <w:r w:rsidR="00E415FD">
        <w:rPr>
          <w:rFonts w:ascii="Times New Roman" w:hAnsi="Times New Roman" w:cs="Times New Roman"/>
          <w:color w:val="000000"/>
          <w:sz w:val="28"/>
          <w:szCs w:val="28"/>
        </w:rPr>
        <w:t>каб</w:t>
      </w:r>
      <w:proofErr w:type="spellEnd"/>
      <w:r w:rsidR="00E415FD">
        <w:rPr>
          <w:rFonts w:ascii="Times New Roman" w:hAnsi="Times New Roman" w:cs="Times New Roman"/>
          <w:color w:val="000000"/>
          <w:sz w:val="28"/>
          <w:szCs w:val="28"/>
        </w:rPr>
        <w:t>. 42,</w:t>
      </w:r>
      <w:r w:rsidRPr="00B94973">
        <w:rPr>
          <w:rFonts w:ascii="Times New Roman" w:hAnsi="Times New Roman" w:cs="Times New Roman"/>
          <w:color w:val="000000"/>
          <w:sz w:val="28"/>
          <w:szCs w:val="28"/>
        </w:rPr>
        <w:t xml:space="preserve"> тел. 8 (485</w:t>
      </w:r>
      <w:r w:rsidR="00E415FD">
        <w:rPr>
          <w:rFonts w:ascii="Times New Roman" w:hAnsi="Times New Roman" w:cs="Times New Roman"/>
          <w:color w:val="000000"/>
          <w:sz w:val="28"/>
          <w:szCs w:val="28"/>
        </w:rPr>
        <w:t>47</w:t>
      </w:r>
      <w:r w:rsidRPr="00B94973">
        <w:rPr>
          <w:rFonts w:ascii="Times New Roman" w:hAnsi="Times New Roman" w:cs="Times New Roman"/>
          <w:color w:val="000000"/>
          <w:sz w:val="28"/>
          <w:szCs w:val="28"/>
        </w:rPr>
        <w:t>) 2-</w:t>
      </w:r>
      <w:r w:rsidR="00E415FD">
        <w:rPr>
          <w:rFonts w:ascii="Times New Roman" w:hAnsi="Times New Roman" w:cs="Times New Roman"/>
          <w:color w:val="000000"/>
          <w:sz w:val="28"/>
          <w:szCs w:val="28"/>
        </w:rPr>
        <w:t>16</w:t>
      </w:r>
      <w:r w:rsidRPr="00B94973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415FD">
        <w:rPr>
          <w:rFonts w:ascii="Times New Roman" w:hAnsi="Times New Roman" w:cs="Times New Roman"/>
          <w:color w:val="000000"/>
          <w:sz w:val="28"/>
          <w:szCs w:val="28"/>
        </w:rPr>
        <w:t>98</w:t>
      </w:r>
      <w:r w:rsidRPr="00B94973">
        <w:rPr>
          <w:rFonts w:ascii="Times New Roman" w:hAnsi="Times New Roman" w:cs="Times New Roman"/>
          <w:color w:val="000000"/>
          <w:sz w:val="28"/>
          <w:szCs w:val="28"/>
        </w:rPr>
        <w:t>, дни приема: понедельник – четверг (часы приема – с 08.00 до 17.</w:t>
      </w:r>
      <w:r w:rsidR="00E415FD"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Pr="00B94973">
        <w:rPr>
          <w:rFonts w:ascii="Times New Roman" w:hAnsi="Times New Roman" w:cs="Times New Roman"/>
          <w:color w:val="000000"/>
          <w:sz w:val="28"/>
          <w:szCs w:val="28"/>
        </w:rPr>
        <w:t>), пятница (часы приема – с 08.00 до 16.</w:t>
      </w:r>
      <w:r w:rsidR="00E415FD">
        <w:rPr>
          <w:rFonts w:ascii="Times New Roman" w:hAnsi="Times New Roman" w:cs="Times New Roman"/>
          <w:color w:val="000000"/>
          <w:sz w:val="28"/>
          <w:szCs w:val="28"/>
        </w:rPr>
        <w:t>00</w:t>
      </w:r>
      <w:r w:rsidRPr="00B94973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r w:rsidR="00E415FD">
        <w:rPr>
          <w:rFonts w:ascii="Times New Roman" w:hAnsi="Times New Roman" w:cs="Times New Roman"/>
          <w:color w:val="000000"/>
          <w:sz w:val="28"/>
          <w:szCs w:val="28"/>
        </w:rPr>
        <w:t>обед с 12.00 до 14</w:t>
      </w:r>
      <w:r w:rsidRPr="00B94973">
        <w:rPr>
          <w:rFonts w:ascii="Times New Roman" w:hAnsi="Times New Roman" w:cs="Times New Roman"/>
          <w:color w:val="000000"/>
          <w:sz w:val="28"/>
          <w:szCs w:val="28"/>
        </w:rPr>
        <w:t>.00.</w:t>
      </w:r>
      <w:r w:rsidRPr="00B9497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94973">
        <w:rPr>
          <w:rFonts w:ascii="Times New Roman" w:hAnsi="Times New Roman" w:cs="Times New Roman"/>
          <w:color w:val="000000"/>
          <w:sz w:val="28"/>
          <w:szCs w:val="28"/>
        </w:rPr>
        <w:br/>
      </w:r>
    </w:p>
    <w:sectPr w:rsidR="00D25123" w:rsidRPr="00B94973" w:rsidSect="00D25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C44"/>
    <w:rsid w:val="005A7083"/>
    <w:rsid w:val="00677C44"/>
    <w:rsid w:val="00724ECD"/>
    <w:rsid w:val="00B92CC4"/>
    <w:rsid w:val="00B94973"/>
    <w:rsid w:val="00BA7E16"/>
    <w:rsid w:val="00D25123"/>
    <w:rsid w:val="00E415FD"/>
    <w:rsid w:val="00FE2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11F329-3B35-4FED-880C-287CA79AD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1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7C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mazina</dc:creator>
  <cp:keywords/>
  <dc:description/>
  <cp:lastModifiedBy>Позднякова В.О.</cp:lastModifiedBy>
  <cp:revision>6</cp:revision>
  <dcterms:created xsi:type="dcterms:W3CDTF">2025-02-11T05:46:00Z</dcterms:created>
  <dcterms:modified xsi:type="dcterms:W3CDTF">2025-02-12T08:19:00Z</dcterms:modified>
</cp:coreProperties>
</file>